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i wydajność kształtują wartość rynku 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Globalny rynek AGD osiągnie w 2019 roku wartość niemal 87 miliardów dolarów. Do 2023 ma wzrastać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roku średnio o 8,5 proc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 Polsce przewidywane wzrosty są znacznie wyższe – aż o 14,3 proc. rocznie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Głównymi czynnikami, które mają wpływ na wzrost sprzedaży urządzeń AGD są urządzenia wielofunkcyjne,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łączność między urządzeniami, a także wygoda użytkowania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coraz więcej klientów decyduje się na zakup nowego sprzętu AGD. W 2018 roku 25 proc. Polaków sięgnęło po sprzęt tego typu. W 2023 roku ma być to już co trzeci obywatel naszego kraju. Wtedy też wartość polskiego rynku osiągnie kwotę 771 milionów dolarów, czyli aż o 70 proc. więcej niż w chwili obecnej.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jest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rynek produktów małego AGD wzrósł na całym świecie o niemal 10 proc. Jego rosnąca popularność wynika w dużej mierze z trendu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convenience</w:t>
      </w:r>
      <w:r>
        <w:rPr>
          <w:rFonts w:ascii="calibri" w:hAnsi="calibri" w:eastAsia="calibri" w:cs="calibri"/>
          <w:sz w:val="24"/>
          <w:szCs w:val="24"/>
        </w:rPr>
        <w:t xml:space="preserve"> – stawiania przez producentów na wygodę i ergonomię. Jednym z najważniejszych jest segment bezprzewodowych odkurzaczy, który odpowiada za ponad 40 proc. wzrostu małego AGD w skali globalnej. Ich wolumen sprzedaży w pierwszej połowie 2018 roku był o 51 proc. większy niż w tym samym okresie w 2017 roku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Bardzo wysoką dynamiką sprzedaży wyróżniają się również roboty sprzątające, a także odkurzacze do czyszczenia na sucho i mokro oraz ekspresy do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znaczenie mają również urządzenia typu smart. Ich udział rynkowy wzrósł w pierwszej połowie 2018 aż o 75 proc i wyniósł 1,2 miliarda euro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 również największe znaczenie mają urządzenia czyszczące – roboty sprzątające czy inteligentne oczyszczacze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wydajność to duże wzrosty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Lokomotywami wzrostów rynku dużego AGD są urządzenia wielofunkcyjne, a także łączność między sprzętami. Rośnie znaczenie rozwiązań cyfrowych, szczególnie na rynkach azjatyckich, na których sprzedano niemal 50 proc. wszystkich urządzeń typu smart na świecie. Inwestuje się w nie tam niemal 1/4 swoich przychodów – w Europie wskaźnik ten wynosi zaledwie 10 proc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nieustanne wzrosty rynku dużego AGD wpływają w dużej mierze dwa czynniki – wzrost wydajności nowych urządzeń, a także postęp technologiczny. Każdego roku coraz lepiej sprzedają się sprzęty o dużej pojemności. Przykładowo w 2018 roku pralki o pojemności powyżej 7 kilogramów wsadu sprzedawały się o niemal 40 proc. lepiej niż przed rokiem i ta tendencja utrzymuje się rokrocznie. Obecnie kategoria ta stanowi sprzedaż ¼ wszystkich urządzeń tego typu </w:t>
      </w:r>
      <w:r>
        <w:rPr>
          <w:rFonts w:ascii="calibri" w:hAnsi="calibri" w:eastAsia="calibri" w:cs="calibri"/>
          <w:sz w:val="24"/>
          <w:szCs w:val="24"/>
        </w:rPr>
        <w:t xml:space="preserve">– mówi Jacek Bryś, Category Manager Działu Zarządzania Produktami MDA/SDA w Neonet.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segment premium i segment urządzeń energooszczędnych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istotny jest również wzrost zamożności społeczeństwa. Klienci coraz częściej są gotowi na zakup produktów premium wyposażonych w najnowocześniejsze rozwiązania technologiczne. NEONET zauważa szczególny wzrost popularności inteligentnych lodówek i lodówek dużych typu side by side. Obecnie niemal 20 proc. kwot wydawanych na sprzęt AGD mieści się w klasie premium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GfK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„Global market for technical consumer goods exceeds the one-trillion mark”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GfK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„Global market for technical consumer goods exceeds the one-trillion mark”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GfK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„Global market for technical consumer goods exceeds the one-trillion mark”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4dc23cdf648fc4d607bf2bf246c2fbcc&amp;id=103324&amp;typ=epr#_ftn1" TargetMode="External"/><Relationship Id="rId8" Type="http://schemas.openxmlformats.org/officeDocument/2006/relationships/hyperlink" Target="http://neonet.biuroprasowe.pl/word/?hash=4dc23cdf648fc4d607bf2bf246c2fbcc&amp;id=103324&amp;typ=epr#_ftn2" TargetMode="External"/><Relationship Id="rId9" Type="http://schemas.openxmlformats.org/officeDocument/2006/relationships/hyperlink" Target="http://neonet.biuroprasowe.pl/word/?hash=4dc23cdf648fc4d607bf2bf246c2fbcc&amp;id=103324&amp;typ=epr#_ftn3" TargetMode="External"/><Relationship Id="rId10" Type="http://schemas.openxmlformats.org/officeDocument/2006/relationships/hyperlink" Target="http://neonet.biuroprasowe.pl/word/?hash=4dc23cdf648fc4d607bf2bf246c2fbcc&amp;id=103324&amp;typ=epr#_ftnref1" TargetMode="External"/><Relationship Id="rId11" Type="http://schemas.openxmlformats.org/officeDocument/2006/relationships/hyperlink" Target="http://neonet.biuroprasowe.pl/word/?hash=4dc23cdf648fc4d607bf2bf246c2fbcc&amp;id=103324&amp;typ=epr#_ftnref2" TargetMode="External"/><Relationship Id="rId12" Type="http://schemas.openxmlformats.org/officeDocument/2006/relationships/hyperlink" Target="http://neonet.biuroprasowe.pl/word/?hash=4dc23cdf648fc4d607bf2bf246c2fbcc&amp;id=103324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2026-03-15T22:30:03+01:00</dcterms:created>
  <dcterms:modified xsi:type="dcterms:W3CDTF">2026-03-15T22:30:03+01:00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