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OŚWIADCZENIE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 Spółki NEONET S.A. informuje, że postanowieniem Sądu Rejonowego dla Wrocławia-Fabrycznej we Wrocławiu z dnia 1 grudnia 2023 r. wobec NEONET S.A. otwarte zostało postępowanie sanacyjne, jako jedna z prawem przewidzianych procedur restrukturyzacyjnych.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Spółki NEONET S.A. informuje, że </w:t>
      </w:r>
      <w:r>
        <w:rPr>
          <w:rFonts w:ascii="calibri" w:hAnsi="calibri" w:eastAsia="calibri" w:cs="calibri"/>
          <w:sz w:val="24"/>
          <w:szCs w:val="24"/>
          <w:b/>
        </w:rPr>
        <w:t xml:space="preserve">postanowieniem Sądu Rejonowego dla Wrocławia-Fabrycznej we Wrocławiu z dnia 1 grudnia 2023 r. wobec NEONET S.A. otwarte zostało postępowanie sanacyjne, jako jedna z prawem przewidzianych procedur restrukturyzacyjnych.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krok, jakim było przekonanie Sądu restrukturyzacyjnego do obranej wizji restrukturyzacji został zrealizowany z sukcesem. Oznacza to zarazem, że </w:t>
      </w:r>
      <w:r>
        <w:rPr>
          <w:rFonts w:ascii="calibri" w:hAnsi="calibri" w:eastAsia="calibri" w:cs="calibri"/>
          <w:sz w:val="24"/>
          <w:szCs w:val="24"/>
          <w:b/>
        </w:rPr>
        <w:t xml:space="preserve">wniosek upadłościowy, który Spółka złożyła tylko z ostrożności,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nie będzie dalej procedowany</w:t>
      </w:r>
      <w:r>
        <w:rPr>
          <w:rFonts w:ascii="calibri" w:hAnsi="calibri" w:eastAsia="calibri" w:cs="calibri"/>
          <w:sz w:val="24"/>
          <w:szCs w:val="24"/>
        </w:rPr>
        <w:t xml:space="preserve">. Jednocześnie</w:t>
      </w:r>
      <w:r>
        <w:rPr>
          <w:rFonts w:ascii="calibri" w:hAnsi="calibri" w:eastAsia="calibri" w:cs="calibri"/>
          <w:sz w:val="24"/>
          <w:szCs w:val="24"/>
          <w:b/>
        </w:rPr>
        <w:t xml:space="preserve"> Sąd zezwolił Spółce na zachowanie zarządu własnego nad całym przedsiębiorstwem</w:t>
      </w:r>
      <w:r>
        <w:rPr>
          <w:rFonts w:ascii="calibri" w:hAnsi="calibri" w:eastAsia="calibri" w:cs="calibri"/>
          <w:sz w:val="24"/>
          <w:szCs w:val="24"/>
        </w:rPr>
        <w:t xml:space="preserve">, co dodatkowo powinno ułatwić przebieg postępowania, tak aby toczyło się ono w sposób najmniej odczuwalny dla kontrahentów oraz Klientów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Raz jeszcze podkreślić należy, że postępowanie restrukturyzacyjne nie jest postępowaniem upadłościowym, ani nawet jakąkolwiek jego odmianą</w:t>
      </w:r>
      <w:r>
        <w:rPr>
          <w:rFonts w:ascii="calibri" w:hAnsi="calibri" w:eastAsia="calibri" w:cs="calibri"/>
          <w:sz w:val="24"/>
          <w:szCs w:val="24"/>
        </w:rPr>
        <w:t xml:space="preserve">. Wręcz przeciwnie, podstawowym założeniem restrukturyzacji jest dalsze funkcjonowanie Spółki i dalsze prowadzenie działalności gospodarczej.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Opracowana strategia restrukturyzacji ma poprawić sytuację przedsiębiorstwa, w tym spłacić dotychczasowych wierzycieli oraz zapewnić Spółce stabilizację na przyszłość. W ramach postępowania restrukturyzacyjnego nastąpi reorganizacja firmy ukierunkowana na rozwiązanie aktualnych trudności i umożliwienie dalszego rozwoju biznesowego w kolejnych kwartałach 2024 roku. Zarząd Spółki NEONET S.A. jest zdeterminowany do uzdrowienia przedsiębiorstwa i dalszego prowadzenia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toku trwającego procesu restrukturyzacji, żaden Klient sieci NEONET nie odczuje trudności i problemów w zakupach oraz obsłudze obecnych oraz przyszłych zamówień realizowanych w sklepach stacjonarnych oraz internetowych. Podjęte kroki nie mają wpływu na procesy sprzedażowe oraz prawa konsumentów. Zarówno sklepy stacjonarne jak i sklepy internetowe nadal będą prowadzić sprzedaż, a wysyłki będą realizowane zgodnie z zamówieniami, Klienci będą mogli bez przeszkód korzystać m.in. z prawa do reklamacji czy zwrotu zakupionego towaru. Na dotychczasowych zasadach będziemy realizować obsługę sprzedażową i posprzedażową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zamieszczamy obwieszczenie postanowienia o otwarciu postępowania restrukturyzacyjnego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wyrazami szacunku,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NEONET S.A.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2026-09-20T12:03:38+02:00</dcterms:created>
  <dcterms:modified xsi:type="dcterms:W3CDTF">2026-09-20T12:03:38+02:00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