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wraca na plus w Q4 2025. Potwierdzenie efektów transformacji po przejęciu przez x-kom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zakończył IV kwartał 2025 roku dodatnim wynikiem EBITDA, a grudzień 2025 przyniósł ponad 50% wyższy zysk brutto niż w analogicznym okresie 2022 roku. Był to jednocześnie pierwszy dodatni grudzień od czterech lat – wówczas wynik osiągnięto przy co najmniej dwukrotnie wyższym poziomie sprzedaży.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Dzisiejsze rezultaty są efektem konsekwentnej pracy wykonanej na przestrzeni ostatnich kwartałów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Szałaj, prezes zarządu Neonet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Spółka potrafi dziś generować dodatni wynik finansowy mimo mniejszej skali sprzedaży. W 2025 roku skoncentrowaliśmy się na efektywności operacyjnej i zdyscyplinowanym zarządzaniu kosztami, zamiast na agresywnym zwiększaniu wolumenu sprzedaży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potwierdzają skuteczność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osiągnięte w najbardziej konkurencyjnym okresie roku potwierdzają skuteczność zmian wdrażanych w ostatnich kwartałach po przejęciu pakietu kontrolnego spółki przez grupę x-kom.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2024 roku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 funkcjonował w warunkach postępowania restrukturyzacyjnego. W lutym 2025 roku grupa x-kom przejęła kontrolny pakiet udziałów w spółce, a w III kwartale 2025 roku zatwierdzony został układ restrukturyzacyjny, stabilizując sytuację finansową i otwierając drogę do pełnej realizacji planu operacyjnego. Już w IV kwartale 2025 spółka wypracowała dodatni wynik operacyjny, co stanowi pierwsze tak wyraźne potwierdzenie skuteczności przeprowadzonych zmian.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Łączny poziom sprzedaży za 2025 rok był jedynie o ok. 2% niższy od założeń przyjętych w długoterminowym planie finansowym, natomiast wynik EBITDA przekroczył te założenia, notując dwucyfrową dynamikę wzrostu.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pokazuje, że spółka nie tylko realizuje przyjęte założenia, ale w obszarze rentowności wyraźnie je poprawia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Szałaj, prezes zarządu Neonet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niki wzmacniają wiarygodność przyjętego kierunku zmian i wspierają dalszą stabilizację współpracy z wierzycielami i instytucjami finansowymi.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optymalizacji kosztów do odbudowy potencjału handlowego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był okresem głębokiej optymalizacji modelu operacyjnego spółki.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 przeprowadził racjonalizację kosztów w centrali, zoptymalizował sieć sprzedaży poprzez zamknięcie nierentownych lokalizacji, usprawnił logistykę oraz zrewidował warunki handlowe z dostawcami. Zintegrowano również operacje B2B w ramach całej grupy x-kom.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tych działań była wyraźna poprawa rentowności – udział kosztów logistycznych w przychodach spadł ponad dwukrotnie. Jednocześnie zoptymalizowano wykorzystanie powierzchni magazynowej oraz uproszczono strukturę kosztów pośrednich. </w:t>
      </w:r>
      <w:r>
        <w:rPr>
          <w:rFonts w:ascii="calibri" w:hAnsi="calibri" w:eastAsia="calibri" w:cs="calibri"/>
          <w:sz w:val="24"/>
          <w:szCs w:val="24"/>
        </w:rPr>
        <w:t xml:space="preserve"> U</w:t>
      </w:r>
      <w:r>
        <w:rPr>
          <w:rFonts w:ascii="calibri" w:hAnsi="calibri" w:eastAsia="calibri" w:cs="calibri"/>
          <w:sz w:val="24"/>
          <w:szCs w:val="24"/>
        </w:rPr>
        <w:t xml:space="preserve">porządkowano także zarządzanie ofertą i polityką promocyjną, rozszerzono segment Nowych Technologii na bazie zasobów x-kom oraz wzmocniono </w:t>
      </w:r>
      <w:r>
        <w:rPr>
          <w:rFonts w:ascii="calibri" w:hAnsi="calibri" w:eastAsia="calibri" w:cs="calibri"/>
          <w:sz w:val="24"/>
          <w:szCs w:val="24"/>
        </w:rPr>
        <w:t xml:space="preserve">zatowarowanie</w:t>
      </w:r>
      <w:r>
        <w:rPr>
          <w:rFonts w:ascii="calibri" w:hAnsi="calibri" w:eastAsia="calibri" w:cs="calibri"/>
          <w:sz w:val="24"/>
          <w:szCs w:val="24"/>
        </w:rPr>
        <w:t xml:space="preserve"> i ekspozycję w sieci sprzedaży.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Poprawa wyników finansowych była możliwa nie tylko dzięki dyscyplinie kosztowej, lecz również dzięki odbudowie potencjału handlowego oraz konsekwentnemu wsparciu partnerów biznesowych i instytucji finansowych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Szałaj, prezes zarządu Neonet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potwierdzenie,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jest dziś postrzegany jako wiarygodny i stabilny partner rynkowy.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Wsparcie kompetencyjne grupy x-kom stworzyło solidne podstawy do przeprowadzenia transformacji operacyjnej i handlowej. Jednocześnie zachowaliśmy odrębność marek i samodzielność operacyjną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Konsekwentna realizacja planu transformacji i trafne decyzje przełożyły się na wymierne wyniki oraz odbudowę stabilności i rentowności spółki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Świerczewski, prezes zarządu x-kom.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Fundament pod wzrost w 2026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Zamknięcie IV kwartału 2025 dodatnim wynikiem operacyjnym spółka traktuje jako punkt zwrotny i fundament pod dalszy rozwój. W 2026 roku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 będzie kontynuował działania skoncentrowane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wzroście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sprzedaży w kanałach online i offline oraz dalszej poprawie efektywności kosztowej.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planuje również rozwój sieci stacjonarnej, w tym wdrażanie nowych formatów sklepów oraz dalsze wzmacnianie oferty i współpracy z partnerami handlowymi, przy wykorzystaniu zaplecza kompetencyjnego grupy x-kom.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na 2026 rok jest utrwalenie rentowności i budowa stabilnej, dodatniej EBITDA w ujęciu całorocznym. Chcemy skalować model, który już dziś udowodnił swoją skuteczność, przy zachowaniu dyscypliny kosztowej i wysokiej jakości operacyjnej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Szałaj, prezes zarządu Neonet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2026-05-30T11:22:05+02:00</dcterms:created>
  <dcterms:modified xsi:type="dcterms:W3CDTF">2026-05-30T11:22:05+02:00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