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Tablet w nowej roli, czyli w czym tkwi jego potencjał?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• W I kwartale 2019 roku sprzedaż tabletów na rynku EMEA (Europy Środkowo-Wschodniej, Bliskiego Wschodu oraz Afryki) była o 10,8% niższa w stosunku do I kwartału 2018 r.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• Raporty prognozują wzrost popytu na tablety o min. 10-calowych ekranach oraz urządzenia 2-w-1.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• Zaś w okresie 2019-2023 ich sprzedaż w sektorze przedsiębiorstw na rynku EMEA ma rocznie średnio rosnąć o 4,7%.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Przeglądając internet zadowalamy się smartfonem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Rynek tabletów wyraźnie przegrupowuje siły. W pierwszym kwartale 2018 roku na świecie sprzedano ich 33 miliony sztuk. To o 14,9% mniej niż rok wcześniej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. Jak przytacza International Data Corporation </w:t>
      </w:r>
      <w:r>
        <w:rPr>
          <w:rFonts w:ascii="calibri" w:hAnsi="calibri" w:eastAsia="calibri" w:cs="calibri"/>
          <w:sz w:val="24"/>
          <w:szCs w:val="24"/>
          <w:b/>
        </w:rPr>
        <w:t xml:space="preserve">– </w:t>
      </w:r>
      <w:r>
        <w:rPr>
          <w:rFonts w:ascii="calibri" w:hAnsi="calibri" w:eastAsia="calibri" w:cs="calibri"/>
          <w:sz w:val="24"/>
          <w:szCs w:val="24"/>
        </w:rPr>
        <w:t xml:space="preserve">międzynarodowa firma doradcza specjalizująca się w nowych technologiach, w pierwszym kwartale tego roku, sprzedaż tych urządzeń w regionie EMEA (Europie, Afryce i na Bliskim Wschodzie) była mniejsza o 10,8% w relacji do odpowiadającego mu kwartałowi 2018 roku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. Jednak może się to szybko zmienić.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Wszystko to wiąże się z coraz większymi wyświetlaczami smartfonów. Kiedy miały one wielkość 3.5 czy 4.5 cala, to nie nadawały się do oglądania filmów czy czytania książek. Do tej roli stworzono tablety. Teraz, gdy 6.5-calowe ekrany smartfonów są już normą, to często oglądamy na nich filmy, przeglądamy internet czy nawet gramy w gry video.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Trend spadkowy w użytkowaniu tabletów potwierdza też Główny Urząd Statystyczny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[3]</w:t>
        </w:r>
      </w:hyperlink>
      <w:r>
        <w:rPr>
          <w:rFonts w:ascii="calibri" w:hAnsi="calibri" w:eastAsia="calibri" w:cs="calibri"/>
          <w:sz w:val="24"/>
          <w:szCs w:val="24"/>
        </w:rPr>
        <w:t xml:space="preserve">, według którego Polacy z siecią najczęściej łączą się za pomocą smartfona. W grupie wiekowej 16-24 wynik ten wyniósł ponad 85%. Z kolei w tym celu z tabletu korzysta tylko co 10 ankietowany.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Duży ekran, duża mobilność i duży komfort pracy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Smartfony, wkraczając w niszę tabletów, zmuszają je do ewolucji. Tablety, by przetrwać, muszą przestać być po prostu dużymi smartfonami i zająć niszę pomiędzy smartfonem i laptopem. Analitycy IDC przewidują, że przez najbliższe 4 lata w sektorze będzie panował trend wzrostowy sprzedaży tych urządzeń, co mamy dostrzec już w przyszłym roku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[4]</w:t>
        </w:r>
      </w:hyperlink>
      <w:r>
        <w:rPr>
          <w:rFonts w:ascii="calibri" w:hAnsi="calibri" w:eastAsia="calibri" w:cs="calibri"/>
          <w:sz w:val="24"/>
          <w:szCs w:val="24"/>
        </w:rPr>
        <w:t xml:space="preserve">. Lepsze wyniki ma napędzać głównie popyt na tablety z dołączaną klawiaturą, które zagrożą pozycji laptopów i ultrabooków. Widać to po optymistycznych prognozach dotyczących tabletów 10-calowych i większych, pośród których liderem pozostać ma Apple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[5]</w:t>
        </w:r>
      </w:hyperlink>
      <w:r>
        <w:rPr>
          <w:rFonts w:ascii="calibri" w:hAnsi="calibri" w:eastAsia="calibri" w:cs="calibri"/>
          <w:sz w:val="24"/>
          <w:szCs w:val="24"/>
        </w:rPr>
        <w:t xml:space="preserve">. Geniusze z Cupertino przewidują wzrost sprzedaży aż o 20%.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Ultrabooki pokazują, że wśród użytkowników istnieje silna potrzeba mobilności. Smartfony mogą rosnąć tylko do pewnego momentu, gdyż potem stają się niepraktyczne co zostawia pewną niszę w rynku urządzeń mobilnych. W tę przestrzeń idealnie wpasowują się większe tablety i urządzenia 2-w-1, które zapewniają komfort pracy, jednocześnie dając dużą swobodę -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Alicja Jankowska</w:t>
      </w:r>
      <w:r>
        <w:rPr>
          <w:rFonts w:ascii="calibri" w:hAnsi="calibri" w:eastAsia="calibri" w:cs="calibri"/>
          <w:sz w:val="24"/>
          <w:szCs w:val="24"/>
        </w:rPr>
        <w:t xml:space="preserve">, Junior Marketing Category Manager w Neonet. – Przyszłość, w której zarządzamy firmą za pomocą tabletu nie większego niż kartka papieru jest już niedaleko. Jeżeli słyszeliście o smart domach to nietrudno jest sobie wyobrazić smart firmy. Nie dziwi mnie, że liderem sprzedaży w tym segmencie pozostaje Apple, które słynie z produktów które są świetnie ze sobą zintegrowane – dodaje Jankowska.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Teraz przyszłość tabletów rysuje się już w znacznie lepszych barwach. Być może już w niedalekiej przyszłości każdy z nas zamiast z laptopa będzie korzystać ze składanego tabletu. Przyszłość w której tablet niczym Nintendo Switch podłącza się do klawiatury by pracować i odłącza gdy się chce obejrzeć w podróży film może nie być tak bardzo odległa.</w:t>
      </w:r>
    </w:p>
    <w:p>
      <w:pPr>
        <w:spacing w:before="0" w:after="300"/>
      </w:pPr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źródło: raport DIGITIMES RESEARCH: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https://www.digitimes.com/news/a20180430PD209.html</w:t>
        </w:r>
      </w:hyperlink>
    </w:p>
    <w:p>
      <w:pPr>
        <w:spacing w:before="0" w:after="300"/>
      </w:pP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 źródło: raport IDC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EMEA Personal Computing Device Quarterly Tracker (Tablet)</w:t>
      </w:r>
      <w:r>
        <w:rPr>
          <w:rFonts w:ascii="calibri" w:hAnsi="calibri" w:eastAsia="calibri" w:cs="calibri"/>
          <w:sz w:val="24"/>
          <w:szCs w:val="24"/>
        </w:rPr>
        <w:t xml:space="preserve">, 2019Q1</w:t>
      </w:r>
    </w:p>
    <w:p>
      <w:pPr>
        <w:spacing w:before="0" w:after="300"/>
      </w:pP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[3]</w:t>
        </w:r>
      </w:hyperlink>
      <w:r>
        <w:rPr>
          <w:rFonts w:ascii="calibri" w:hAnsi="calibri" w:eastAsia="calibri" w:cs="calibri"/>
          <w:sz w:val="24"/>
          <w:szCs w:val="24"/>
        </w:rPr>
        <w:t xml:space="preserve"> źródło: raport Głównego Urzędu Statystycznego “Polska w liczbach 2019”</w:t>
      </w:r>
    </w:p>
    <w:p>
      <w:pPr>
        <w:spacing w:before="0" w:after="300"/>
      </w:pP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[4]</w:t>
        </w:r>
      </w:hyperlink>
      <w:r>
        <w:rPr>
          <w:rFonts w:ascii="calibri" w:hAnsi="calibri" w:eastAsia="calibri" w:cs="calibri"/>
          <w:sz w:val="24"/>
          <w:szCs w:val="24"/>
        </w:rPr>
        <w:t xml:space="preserve"> źródło: raport IDC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Worldwide Tablet Forecast, 2019–2023</w:t>
      </w:r>
    </w:p>
    <w:p>
      <w:pPr>
        <w:spacing w:before="0" w:after="300"/>
      </w:pP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[5]</w:t>
        </w:r>
      </w:hyperlink>
      <w:r>
        <w:rPr>
          <w:rFonts w:ascii="calibri" w:hAnsi="calibri" w:eastAsia="calibri" w:cs="calibri"/>
          <w:sz w:val="24"/>
          <w:szCs w:val="24"/>
        </w:rPr>
        <w:t xml:space="preserve"> źródło: raport DIGITIMES RESEARCH: </w:t>
      </w: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https://www.digitimes.com/news/a20190801PD205.html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neonet.biuroprasowe.pl/word/?hash=f52daa10240d5cd92262ed2e5dc12b52&amp;id=107900&amp;typ=epr#_ftn1" TargetMode="External"/><Relationship Id="rId8" Type="http://schemas.openxmlformats.org/officeDocument/2006/relationships/hyperlink" Target="http://neonet.biuroprasowe.pl/word/?hash=f52daa10240d5cd92262ed2e5dc12b52&amp;id=107900&amp;typ=epr#_ftn2" TargetMode="External"/><Relationship Id="rId9" Type="http://schemas.openxmlformats.org/officeDocument/2006/relationships/hyperlink" Target="http://neonet.biuroprasowe.pl/word/?hash=f52daa10240d5cd92262ed2e5dc12b52&amp;id=107900&amp;typ=epr#_ftn3" TargetMode="External"/><Relationship Id="rId10" Type="http://schemas.openxmlformats.org/officeDocument/2006/relationships/hyperlink" Target="http://neonet.biuroprasowe.pl/word/?hash=f52daa10240d5cd92262ed2e5dc12b52&amp;id=107900&amp;typ=epr#_ftn4" TargetMode="External"/><Relationship Id="rId11" Type="http://schemas.openxmlformats.org/officeDocument/2006/relationships/hyperlink" Target="http://neonet.biuroprasowe.pl/word/?hash=f52daa10240d5cd92262ed2e5dc12b52&amp;id=107900&amp;typ=epr#_ftn5" TargetMode="External"/><Relationship Id="rId12" Type="http://schemas.openxmlformats.org/officeDocument/2006/relationships/hyperlink" Target="http://neonet.biuroprasowe.pl/word/?hash=f52daa10240d5cd92262ed2e5dc12b52&amp;id=107900&amp;typ=epr#_ftnref1" TargetMode="External"/><Relationship Id="rId13" Type="http://schemas.openxmlformats.org/officeDocument/2006/relationships/hyperlink" Target="https://www.digitimes.com/news/a20180430PD209.html" TargetMode="External"/><Relationship Id="rId14" Type="http://schemas.openxmlformats.org/officeDocument/2006/relationships/hyperlink" Target="http://neonet.biuroprasowe.pl/word/?hash=f52daa10240d5cd92262ed2e5dc12b52&amp;id=107900&amp;typ=epr#_ftnref2" TargetMode="External"/><Relationship Id="rId15" Type="http://schemas.openxmlformats.org/officeDocument/2006/relationships/hyperlink" Target="http://neonet.biuroprasowe.pl/word/?hash=f52daa10240d5cd92262ed2e5dc12b52&amp;id=107900&amp;typ=epr#_ftnref3" TargetMode="External"/><Relationship Id="rId16" Type="http://schemas.openxmlformats.org/officeDocument/2006/relationships/hyperlink" Target="http://neonet.biuroprasowe.pl/word/?hash=f52daa10240d5cd92262ed2e5dc12b52&amp;id=107900&amp;typ=epr#_ftnref4" TargetMode="External"/><Relationship Id="rId17" Type="http://schemas.openxmlformats.org/officeDocument/2006/relationships/hyperlink" Target="http://neonet.biuroprasowe.pl/word/?hash=f52daa10240d5cd92262ed2e5dc12b52&amp;id=107900&amp;typ=epr#_ftnref5" TargetMode="External"/><Relationship Id="rId18" Type="http://schemas.openxmlformats.org/officeDocument/2006/relationships/hyperlink" Target="https://www.digitimes.com/news/a20190801PD205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2026-09-01T11:07:56+02:00</dcterms:created>
  <dcterms:modified xsi:type="dcterms:W3CDTF">2026-09-01T11:07:56+02:00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